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99676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CONSERVTION, PRESERVATION AND RESTORATION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>I have read the CPR Grant guidelines and understand that failure to comply with the Guidelines may result in revocation of the AAZK CPR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  <w:bookmarkStart w:id="0" w:name="_GoBack"/>
      <w:bookmarkEnd w:id="0"/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723D44"/>
    <w:rsid w:val="0099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</cp:lastModifiedBy>
  <cp:revision>1</cp:revision>
  <dcterms:created xsi:type="dcterms:W3CDTF">2013-07-16T15:34:00Z</dcterms:created>
  <dcterms:modified xsi:type="dcterms:W3CDTF">2013-07-16T16:17:00Z</dcterms:modified>
</cp:coreProperties>
</file>